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9" w:rsidRDefault="00003E69" w:rsidP="00EB0EC4">
      <w:pPr>
        <w:pStyle w:val="Corpodetexto"/>
        <w:ind w:left="621"/>
        <w:rPr>
          <w:sz w:val="4"/>
        </w:rPr>
      </w:pPr>
      <w:bookmarkStart w:id="0" w:name="_GoBack"/>
      <w:bookmarkEnd w:id="0"/>
    </w:p>
    <w:p w:rsidR="00EB0EC4" w:rsidRDefault="00FF2B8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32"/>
          <w:szCs w:val="32"/>
        </w:rPr>
        <w:t xml:space="preserve">INFORMAÇÃO - 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>PROVA DE EQUIVAL</w:t>
      </w:r>
      <w:r>
        <w:rPr>
          <w:rFonts w:ascii="Calibri" w:eastAsia="Calibri" w:hAnsi="Calibri" w:cs="Arial"/>
          <w:b/>
          <w:sz w:val="32"/>
          <w:szCs w:val="32"/>
        </w:rPr>
        <w:t>Ê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>NCIA À FREQU</w:t>
      </w:r>
      <w:r>
        <w:rPr>
          <w:rFonts w:ascii="Calibri" w:eastAsia="Calibri" w:hAnsi="Calibri" w:cs="Arial"/>
          <w:b/>
          <w:sz w:val="32"/>
          <w:szCs w:val="32"/>
        </w:rPr>
        <w:t>Ê</w:t>
      </w:r>
      <w:r w:rsidR="00EB0EC4" w:rsidRPr="00EB0EC4">
        <w:rPr>
          <w:rFonts w:ascii="Calibri" w:eastAsia="Calibri" w:hAnsi="Calibri" w:cs="Arial"/>
          <w:b/>
          <w:sz w:val="32"/>
          <w:szCs w:val="32"/>
        </w:rPr>
        <w:t xml:space="preserve">NCIA 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</w:p>
    <w:p w:rsidR="00FF2B84" w:rsidRPr="00EB0EC4" w:rsidRDefault="00FF2B84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PROVA </w:t>
      </w:r>
      <w:r w:rsidR="00116658">
        <w:rPr>
          <w:rFonts w:ascii="Calibri" w:eastAsia="Calibri" w:hAnsi="Calibri" w:cs="Arial"/>
          <w:b/>
          <w:sz w:val="28"/>
          <w:szCs w:val="28"/>
        </w:rPr>
        <w:t>96</w:t>
      </w:r>
    </w:p>
    <w:p w:rsidR="00205B7B" w:rsidRDefault="00205B7B" w:rsidP="00205B7B">
      <w:pPr>
        <w:widowControl/>
        <w:pBdr>
          <w:bottom w:val="single" w:sz="12" w:space="2" w:color="auto"/>
        </w:pBdr>
        <w:autoSpaceDE/>
        <w:ind w:right="-96"/>
        <w:rPr>
          <w:rFonts w:cstheme="minorHAnsi"/>
          <w:shd w:val="clear" w:color="auto" w:fill="FAF9F8"/>
        </w:rPr>
      </w:pPr>
      <w:r>
        <w:t>Decreto-Lei n.º 22/2023</w:t>
      </w:r>
      <w:r>
        <w:rPr>
          <w:rFonts w:cstheme="minorHAnsi"/>
          <w:shd w:val="clear" w:color="auto" w:fill="FAF9F8"/>
        </w:rPr>
        <w:t>, o</w:t>
      </w:r>
      <w:r w:rsidR="00120E37">
        <w:rPr>
          <w:rFonts w:cstheme="minorHAnsi"/>
          <w:shd w:val="clear" w:color="auto" w:fill="FAF9F8"/>
        </w:rPr>
        <w:t xml:space="preserve"> </w:t>
      </w:r>
      <w:r>
        <w:rPr>
          <w:rFonts w:cstheme="minorHAnsi"/>
          <w:shd w:val="clear" w:color="auto" w:fill="FAF9F8"/>
        </w:rPr>
        <w:t>Despacho Normativo nº 4-B/2023, de 3 de abril</w:t>
      </w:r>
    </w:p>
    <w:p w:rsidR="00EB0EC4" w:rsidRPr="00EB0EC4" w:rsidRDefault="00EB1759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Cs/>
        </w:rPr>
      </w:pPr>
      <w:r w:rsidRPr="00AC1813">
        <w:rPr>
          <w:rFonts w:ascii="Calibri" w:eastAsia="Calibri" w:hAnsi="Calibri" w:cs="Arial"/>
          <w:b/>
          <w:sz w:val="28"/>
          <w:szCs w:val="28"/>
        </w:rPr>
        <w:t>3.º</w:t>
      </w:r>
      <w:r w:rsidR="00EB0EC4" w:rsidRPr="00AC1813">
        <w:rPr>
          <w:rFonts w:ascii="Calibri" w:eastAsia="Calibri" w:hAnsi="Calibri" w:cs="Arial"/>
          <w:b/>
          <w:sz w:val="28"/>
          <w:szCs w:val="28"/>
        </w:rPr>
        <w:t xml:space="preserve"> Ciclo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 xml:space="preserve"> do Ensino Básico 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  <w:t>202</w:t>
      </w:r>
      <w:r w:rsidR="002223A8">
        <w:rPr>
          <w:rFonts w:ascii="Calibri" w:eastAsia="Calibri" w:hAnsi="Calibri" w:cs="Arial"/>
          <w:b/>
          <w:sz w:val="28"/>
          <w:szCs w:val="28"/>
        </w:rPr>
        <w:t>3</w:t>
      </w:r>
    </w:p>
    <w:p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ind w:right="-1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sz w:val="20"/>
          <w:szCs w:val="20"/>
        </w:rPr>
        <w:t xml:space="preserve">O presente documento visa divulgar as caraterísticas da Prova Oral de Equivalência à Frequência do 3º ciclo do Ensino Básico, da disciplina de Cidadania e Desenvolvimento, a realizar em 2023, nomeadamente: Objeto de avaliação; </w:t>
      </w:r>
      <w:bookmarkStart w:id="1" w:name="_Hlk72874081"/>
      <w:r w:rsidRPr="00116658">
        <w:rPr>
          <w:rFonts w:ascii="Trebuchet MS" w:eastAsia="Calibri" w:hAnsi="Trebuchet MS" w:cs="Times New Roman"/>
          <w:sz w:val="20"/>
          <w:szCs w:val="20"/>
        </w:rPr>
        <w:t>Características e estrutura; Critérios gerais de classificação; Duração e Material.</w:t>
      </w:r>
      <w:bookmarkEnd w:id="1"/>
    </w:p>
    <w:p w:rsidR="00116658" w:rsidRPr="00116658" w:rsidRDefault="00116658" w:rsidP="00116658">
      <w:pPr>
        <w:widowControl/>
        <w:autoSpaceDE/>
        <w:autoSpaceDN/>
        <w:spacing w:after="24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  <w:r w:rsidRPr="00116658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1 - OBJETO DE AVALIAÇÃO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both"/>
        <w:rPr>
          <w:rFonts w:ascii="Trebuchet MS" w:eastAsia="Calibri" w:hAnsi="Trebuchet MS" w:cs="Times New Roman"/>
          <w:sz w:val="20"/>
        </w:rPr>
      </w:pPr>
      <w:r w:rsidRPr="00116658">
        <w:rPr>
          <w:rFonts w:ascii="Trebuchet MS" w:eastAsia="Calibri" w:hAnsi="Trebuchet MS" w:cs="Times New Roman"/>
          <w:sz w:val="20"/>
          <w:szCs w:val="20"/>
        </w:rPr>
        <w:t xml:space="preserve">A prova tem por referência as orientações para a disciplina e a Estratégia para Cidadania e Desenvolvimento e permite avaliar as aprendizagens nos domínios da compreensão e expressão orais e conhecimento, incidindo sobre os temas obrigatórios para o ciclo e os domínios da atitude cívica individual, relacionamento interpessoal e relacionamento social e intercultural. A conceção da prova tem por base um conjunto de competências e conhecimentos, em convergência com o Perfil dos Alunos à Saída da Escolaridade Obrigatória e com as Aprendizagens Essenciais </w:t>
      </w:r>
      <w:r w:rsidRPr="00116658">
        <w:rPr>
          <w:rFonts w:ascii="Trebuchet MS" w:eastAsia="Calibri" w:hAnsi="Trebuchet MS" w:cs="Times New Roman"/>
          <w:sz w:val="20"/>
        </w:rPr>
        <w:t xml:space="preserve">nos domínios: </w:t>
      </w:r>
      <w:r w:rsidRPr="00116658">
        <w:rPr>
          <w:rFonts w:ascii="Trebuchet MS" w:eastAsia="Calibri" w:hAnsi="Trebuchet MS" w:cs="Times New Roman"/>
          <w:i/>
          <w:iCs/>
          <w:sz w:val="20"/>
        </w:rPr>
        <w:t>“Direitos Humanos”</w:t>
      </w:r>
      <w:r w:rsidRPr="00116658">
        <w:rPr>
          <w:rFonts w:ascii="Trebuchet MS" w:eastAsia="Calibri" w:hAnsi="Trebuchet MS" w:cs="Times New Roman"/>
          <w:sz w:val="20"/>
        </w:rPr>
        <w:t>; “Igualdade de Género”; “</w:t>
      </w:r>
      <w:r w:rsidRPr="00116658">
        <w:rPr>
          <w:rFonts w:ascii="Trebuchet MS" w:eastAsia="Calibri" w:hAnsi="Trebuchet MS" w:cs="Times New Roman"/>
          <w:i/>
          <w:iCs/>
          <w:sz w:val="20"/>
        </w:rPr>
        <w:t>Interculturalidade</w:t>
      </w:r>
      <w:r w:rsidRPr="00116658">
        <w:rPr>
          <w:rFonts w:ascii="Trebuchet MS" w:eastAsia="Calibri" w:hAnsi="Trebuchet MS" w:cs="Times New Roman"/>
          <w:sz w:val="20"/>
        </w:rPr>
        <w:t>”; “Bem-Estar Animal” e “Educação Ambiental”.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sz w:val="20"/>
          <w:szCs w:val="20"/>
        </w:rPr>
        <w:t>Quadro 1 – Tipologia da prova</w:t>
      </w:r>
    </w:p>
    <w:tbl>
      <w:tblPr>
        <w:tblpPr w:leftFromText="141" w:rightFromText="141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4"/>
      </w:tblGrid>
      <w:tr w:rsidR="00116658" w:rsidRPr="00116658" w:rsidTr="007D3A52">
        <w:tc>
          <w:tcPr>
            <w:tcW w:w="3085" w:type="dxa"/>
            <w:shd w:val="clear" w:color="auto" w:fill="auto"/>
          </w:tcPr>
          <w:p w:rsidR="00116658" w:rsidRPr="00116658" w:rsidRDefault="00116658" w:rsidP="00116658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  <w:p w:rsidR="00116658" w:rsidRPr="00116658" w:rsidRDefault="00116658" w:rsidP="00116658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Domínios a tratar</w:t>
            </w:r>
          </w:p>
        </w:tc>
        <w:tc>
          <w:tcPr>
            <w:tcW w:w="5614" w:type="dxa"/>
            <w:shd w:val="clear" w:color="auto" w:fill="auto"/>
          </w:tcPr>
          <w:p w:rsidR="00116658" w:rsidRPr="00116658" w:rsidRDefault="00116658" w:rsidP="00116658">
            <w:pPr>
              <w:widowControl/>
              <w:numPr>
                <w:ilvl w:val="0"/>
                <w:numId w:val="5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Direitos Humanos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5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Igualdade de Género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5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Bem-Estar Animal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5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Educação Ambiental</w:t>
            </w:r>
          </w:p>
        </w:tc>
      </w:tr>
      <w:tr w:rsidR="00116658" w:rsidRPr="00116658" w:rsidTr="007D3A52">
        <w:tc>
          <w:tcPr>
            <w:tcW w:w="3085" w:type="dxa"/>
            <w:shd w:val="clear" w:color="auto" w:fill="auto"/>
          </w:tcPr>
          <w:p w:rsidR="00116658" w:rsidRPr="00116658" w:rsidRDefault="00116658" w:rsidP="00116658">
            <w:pPr>
              <w:widowControl/>
              <w:autoSpaceDE/>
              <w:autoSpaceDN/>
              <w:spacing w:after="240" w:line="276" w:lineRule="auto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  <w:p w:rsidR="00116658" w:rsidRPr="00116658" w:rsidRDefault="00116658" w:rsidP="00116658">
            <w:pPr>
              <w:widowControl/>
              <w:autoSpaceDE/>
              <w:autoSpaceDN/>
              <w:spacing w:after="24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Tipos de atividade</w:t>
            </w:r>
          </w:p>
        </w:tc>
        <w:tc>
          <w:tcPr>
            <w:tcW w:w="5614" w:type="dxa"/>
            <w:shd w:val="clear" w:color="auto" w:fill="auto"/>
          </w:tcPr>
          <w:p w:rsidR="00116658" w:rsidRPr="00116658" w:rsidRDefault="00116658" w:rsidP="00116658">
            <w:pPr>
              <w:widowControl/>
              <w:numPr>
                <w:ilvl w:val="0"/>
                <w:numId w:val="6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Leitura de um texto/ notícia.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6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Visionamento de imagem/ </w:t>
            </w:r>
            <w:proofErr w:type="gramStart"/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cartoon</w:t>
            </w:r>
            <w:proofErr w:type="gramEnd"/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/ vídeo.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6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Interação professor interlocutor-aluno</w:t>
            </w:r>
          </w:p>
          <w:p w:rsidR="00116658" w:rsidRPr="00116658" w:rsidRDefault="00116658" w:rsidP="00116658">
            <w:pPr>
              <w:widowControl/>
              <w:numPr>
                <w:ilvl w:val="0"/>
                <w:numId w:val="6"/>
              </w:numPr>
              <w:autoSpaceDE/>
              <w:autoSpaceDN/>
              <w:spacing w:after="240" w:line="276" w:lineRule="auto"/>
              <w:jc w:val="both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116658">
              <w:rPr>
                <w:rFonts w:ascii="Trebuchet MS" w:eastAsia="Calibri" w:hAnsi="Trebuchet MS" w:cs="Times New Roman"/>
                <w:b/>
                <w:sz w:val="20"/>
                <w:szCs w:val="20"/>
              </w:rPr>
              <w:t>Prestação individual do aluno</w:t>
            </w:r>
          </w:p>
        </w:tc>
      </w:tr>
    </w:tbl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tabs>
          <w:tab w:val="left" w:pos="5250"/>
        </w:tabs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ab/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adjustRightInd w:val="0"/>
        <w:spacing w:after="200" w:line="276" w:lineRule="auto"/>
        <w:jc w:val="both"/>
        <w:rPr>
          <w:rFonts w:ascii="Trebuchet MS" w:eastAsia="Calibri" w:hAnsi="Trebuchet MS" w:cs="Georgia"/>
          <w:sz w:val="20"/>
        </w:rPr>
      </w:pPr>
      <w:r w:rsidRPr="00116658">
        <w:rPr>
          <w:rFonts w:ascii="Trebuchet MS" w:eastAsia="Calibri" w:hAnsi="Trebuchet MS" w:cs="Georgia"/>
          <w:sz w:val="20"/>
        </w:rPr>
        <w:t>Os descritores de desempenho esperados, em função dos parâmetros em avaliação, são apresentados no Quadro 2.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40" w:line="276" w:lineRule="auto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sz w:val="20"/>
          <w:szCs w:val="20"/>
        </w:rPr>
        <w:t xml:space="preserve">2 - </w:t>
      </w:r>
      <w:bookmarkStart w:id="2" w:name="_Hlk72873430"/>
      <w:r w:rsidRPr="00116658">
        <w:rPr>
          <w:rFonts w:ascii="Trebuchet MS" w:eastAsia="Calibri" w:hAnsi="Trebuchet MS" w:cs="Times New Roman"/>
          <w:b/>
          <w:sz w:val="20"/>
          <w:szCs w:val="20"/>
        </w:rPr>
        <w:t>CARACTERÍSTICAS E ESTRUTURA</w:t>
      </w:r>
      <w:bookmarkEnd w:id="2"/>
    </w:p>
    <w:p w:rsidR="00116658" w:rsidRPr="00116658" w:rsidRDefault="00116658" w:rsidP="00116658">
      <w:pPr>
        <w:widowControl/>
        <w:autoSpaceDE/>
        <w:autoSpaceDN/>
        <w:spacing w:after="240" w:line="276" w:lineRule="auto"/>
        <w:jc w:val="both"/>
        <w:rPr>
          <w:rFonts w:ascii="Trebuchet MS" w:eastAsia="Calibri" w:hAnsi="Trebuchet MS" w:cs="Times New Roman"/>
          <w:b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bCs/>
          <w:sz w:val="20"/>
          <w:szCs w:val="20"/>
        </w:rPr>
        <w:t xml:space="preserve">A prova oral sintetiza-se no Quadro 1. </w:t>
      </w:r>
    </w:p>
    <w:p w:rsidR="00116658" w:rsidRPr="00116658" w:rsidRDefault="00116658" w:rsidP="00116658">
      <w:pPr>
        <w:adjustRightInd w:val="0"/>
        <w:spacing w:after="200"/>
        <w:rPr>
          <w:rFonts w:ascii="Trebuchet MS" w:eastAsia="Calibri" w:hAnsi="Trebuchet MS" w:cs="Georgia"/>
          <w:sz w:val="20"/>
        </w:rPr>
      </w:pPr>
    </w:p>
    <w:p w:rsidR="00116658" w:rsidRPr="00116658" w:rsidRDefault="00116658" w:rsidP="00116658">
      <w:pPr>
        <w:adjustRightInd w:val="0"/>
        <w:spacing w:after="200"/>
        <w:jc w:val="center"/>
        <w:rPr>
          <w:rFonts w:ascii="Trebuchet MS" w:eastAsia="Calibri" w:hAnsi="Trebuchet MS" w:cs="Georgia"/>
          <w:b/>
          <w:bCs/>
          <w:sz w:val="20"/>
        </w:rPr>
      </w:pPr>
      <w:r w:rsidRPr="00116658">
        <w:rPr>
          <w:rFonts w:ascii="Trebuchet MS" w:eastAsia="Calibri" w:hAnsi="Trebuchet MS" w:cs="Georgia"/>
          <w:b/>
          <w:bCs/>
          <w:sz w:val="20"/>
        </w:rPr>
        <w:t>Quadro 2 – Parâmetros e descritores de desempenho</w:t>
      </w:r>
    </w:p>
    <w:p w:rsidR="00116658" w:rsidRPr="00116658" w:rsidRDefault="00116658" w:rsidP="00116658">
      <w:pPr>
        <w:adjustRightInd w:val="0"/>
        <w:spacing w:after="200"/>
        <w:rPr>
          <w:rFonts w:ascii="Trebuchet MS" w:eastAsia="Calibri" w:hAnsi="Trebuchet MS" w:cs="Georgia"/>
          <w:b/>
          <w:bCs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5387"/>
      </w:tblGrid>
      <w:tr w:rsidR="00116658" w:rsidRPr="00116658" w:rsidTr="007D3A52">
        <w:trPr>
          <w:trHeight w:val="578"/>
        </w:trPr>
        <w:tc>
          <w:tcPr>
            <w:tcW w:w="1384" w:type="dxa"/>
            <w:vMerge w:val="restart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  <w:p w:rsidR="00116658" w:rsidRPr="00116658" w:rsidRDefault="00116658" w:rsidP="00116658">
            <w:pPr>
              <w:adjustRightInd w:val="0"/>
              <w:spacing w:after="200"/>
              <w:jc w:val="center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Interação</w:t>
            </w:r>
          </w:p>
          <w:p w:rsidR="00116658" w:rsidRPr="00116658" w:rsidRDefault="00116658" w:rsidP="00116658">
            <w:pPr>
              <w:adjustRightInd w:val="0"/>
              <w:spacing w:after="200"/>
              <w:jc w:val="center"/>
              <w:rPr>
                <w:rFonts w:ascii="Trebuchet MS" w:eastAsia="Calibri" w:hAnsi="Trebuchet MS" w:cs="Georgia"/>
                <w:sz w:val="20"/>
              </w:rPr>
            </w:pPr>
            <w:proofErr w:type="gramStart"/>
            <w:r w:rsidRPr="00116658">
              <w:rPr>
                <w:rFonts w:ascii="Trebuchet MS" w:eastAsia="Calibri" w:hAnsi="Trebuchet MS" w:cs="Georgia"/>
                <w:sz w:val="20"/>
              </w:rPr>
              <w:t>e</w:t>
            </w:r>
            <w:proofErr w:type="gramEnd"/>
          </w:p>
          <w:p w:rsidR="00116658" w:rsidRPr="00116658" w:rsidRDefault="00116658" w:rsidP="00116658">
            <w:pPr>
              <w:adjustRightInd w:val="0"/>
              <w:spacing w:after="200"/>
              <w:jc w:val="center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Prestação</w:t>
            </w:r>
          </w:p>
        </w:tc>
        <w:tc>
          <w:tcPr>
            <w:tcW w:w="2693" w:type="dxa"/>
            <w:shd w:val="clear" w:color="auto" w:fill="D5DCE4"/>
            <w:vAlign w:val="center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Parâmetros</w:t>
            </w:r>
          </w:p>
        </w:tc>
        <w:tc>
          <w:tcPr>
            <w:tcW w:w="5387" w:type="dxa"/>
            <w:shd w:val="clear" w:color="auto" w:fill="D5DCE4"/>
            <w:vAlign w:val="center"/>
          </w:tcPr>
          <w:p w:rsidR="00116658" w:rsidRPr="00116658" w:rsidRDefault="00116658" w:rsidP="00116658">
            <w:pPr>
              <w:adjustRightInd w:val="0"/>
              <w:spacing w:after="200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Descritores de desempenho</w:t>
            </w:r>
          </w:p>
        </w:tc>
      </w:tr>
      <w:tr w:rsidR="00116658" w:rsidRPr="00116658" w:rsidTr="007D3A52">
        <w:tc>
          <w:tcPr>
            <w:tcW w:w="1384" w:type="dxa"/>
            <w:vMerge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Compreensão/exploração /argumentação crítica</w:t>
            </w: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Perante os temas assume uma atitude individual responsável - assume uma tomada de posição; apresenta exemplos ilustrativos; retira uma conclusão.</w:t>
            </w:r>
          </w:p>
        </w:tc>
      </w:tr>
      <w:tr w:rsidR="00116658" w:rsidRPr="00116658" w:rsidTr="007D3A52">
        <w:tc>
          <w:tcPr>
            <w:tcW w:w="1384" w:type="dxa"/>
            <w:vMerge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Aplicação de conhecimentos</w:t>
            </w: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Perante os temas defende opiniões de relacionamento interpessoal aceites - cumpre a instrução quanto ao tema; recorre a informação pertinente; assegura a progressão da informação; usa vocabulário adequado.</w:t>
            </w:r>
          </w:p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</w:tr>
      <w:tr w:rsidR="00116658" w:rsidRPr="00116658" w:rsidTr="007D3A52">
        <w:tc>
          <w:tcPr>
            <w:tcW w:w="1384" w:type="dxa"/>
            <w:vMerge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Organização e coesão do discurso oral/correção linguística</w:t>
            </w:r>
          </w:p>
        </w:tc>
        <w:tc>
          <w:tcPr>
            <w:tcW w:w="5387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/>
              <w:rPr>
                <w:rFonts w:ascii="Trebuchet MS" w:eastAsia="Calibri" w:hAnsi="Trebuchet MS" w:cs="Georgia"/>
                <w:sz w:val="20"/>
              </w:rPr>
            </w:pPr>
            <w:proofErr w:type="gramStart"/>
            <w:r w:rsidRPr="00116658">
              <w:rPr>
                <w:rFonts w:ascii="Trebuchet MS" w:eastAsia="Calibri" w:hAnsi="Trebuchet MS" w:cs="Georgia"/>
                <w:sz w:val="20"/>
              </w:rPr>
              <w:t>Perante os temas assume opiniões social e culturalmente aceites - demarca as diferentes partes da exposição</w:t>
            </w:r>
            <w:proofErr w:type="gramEnd"/>
            <w:r w:rsidRPr="00116658">
              <w:rPr>
                <w:rFonts w:ascii="Trebuchet MS" w:eastAsia="Calibri" w:hAnsi="Trebuchet MS" w:cs="Georgia"/>
                <w:sz w:val="20"/>
              </w:rPr>
              <w:t>; usa articuladores de discurso; é coerente e mantém o ritmo do discurso.</w:t>
            </w:r>
          </w:p>
        </w:tc>
      </w:tr>
    </w:tbl>
    <w:p w:rsidR="00116658" w:rsidRPr="00116658" w:rsidRDefault="00116658" w:rsidP="00116658">
      <w:pPr>
        <w:adjustRightInd w:val="0"/>
        <w:spacing w:after="200"/>
        <w:rPr>
          <w:rFonts w:ascii="Trebuchet MS" w:eastAsia="Calibri" w:hAnsi="Trebuchet MS" w:cs="Georgia"/>
          <w:sz w:val="20"/>
        </w:rPr>
      </w:pPr>
    </w:p>
    <w:p w:rsidR="00116658" w:rsidRPr="00116658" w:rsidRDefault="00116658" w:rsidP="00116658">
      <w:pPr>
        <w:adjustRightInd w:val="0"/>
        <w:spacing w:after="200" w:line="276" w:lineRule="auto"/>
        <w:jc w:val="both"/>
        <w:rPr>
          <w:rFonts w:ascii="Trebuchet MS" w:eastAsia="Calibri" w:hAnsi="Trebuchet MS" w:cs="Georgia"/>
          <w:sz w:val="20"/>
        </w:rPr>
      </w:pPr>
      <w:r w:rsidRPr="00116658">
        <w:rPr>
          <w:rFonts w:ascii="Trebuchet MS" w:eastAsia="Calibri" w:hAnsi="Trebuchet MS" w:cs="Georgia"/>
          <w:sz w:val="20"/>
        </w:rPr>
        <w:t>A prova é cotada para 100 pontos, tendo em consideração a ponderação de cada parâmetro, apresentada no Quadro 3.</w:t>
      </w:r>
    </w:p>
    <w:p w:rsidR="00116658" w:rsidRPr="00116658" w:rsidRDefault="00116658" w:rsidP="00116658">
      <w:pPr>
        <w:adjustRightInd w:val="0"/>
        <w:spacing w:after="200" w:line="276" w:lineRule="auto"/>
        <w:rPr>
          <w:rFonts w:ascii="Trebuchet MS" w:eastAsia="Calibri" w:hAnsi="Trebuchet MS" w:cs="Georgia"/>
          <w:sz w:val="20"/>
        </w:rPr>
      </w:pPr>
    </w:p>
    <w:p w:rsidR="00116658" w:rsidRPr="00116658" w:rsidRDefault="00116658" w:rsidP="00116658">
      <w:pPr>
        <w:adjustRightInd w:val="0"/>
        <w:spacing w:after="200" w:line="276" w:lineRule="auto"/>
        <w:jc w:val="center"/>
        <w:rPr>
          <w:rFonts w:ascii="Trebuchet MS" w:eastAsia="Calibri" w:hAnsi="Trebuchet MS" w:cs="Georgia"/>
          <w:b/>
          <w:bCs/>
          <w:sz w:val="20"/>
        </w:rPr>
      </w:pPr>
      <w:r w:rsidRPr="00116658">
        <w:rPr>
          <w:rFonts w:ascii="Trebuchet MS" w:eastAsia="Calibri" w:hAnsi="Trebuchet MS" w:cs="Georgia"/>
          <w:b/>
          <w:bCs/>
          <w:sz w:val="20"/>
        </w:rPr>
        <w:t>Quadro 3- Ponderação por parâmetro.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116658" w:rsidRPr="00116658" w:rsidTr="007D3A52">
        <w:trPr>
          <w:trHeight w:val="695"/>
          <w:jc w:val="center"/>
        </w:trPr>
        <w:tc>
          <w:tcPr>
            <w:tcW w:w="5495" w:type="dxa"/>
            <w:shd w:val="clear" w:color="auto" w:fill="D5DCE4"/>
            <w:vAlign w:val="center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Domínios</w:t>
            </w:r>
          </w:p>
        </w:tc>
        <w:tc>
          <w:tcPr>
            <w:tcW w:w="1984" w:type="dxa"/>
            <w:shd w:val="clear" w:color="auto" w:fill="D5DCE4"/>
            <w:vAlign w:val="center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Ponderação</w:t>
            </w:r>
          </w:p>
        </w:tc>
      </w:tr>
      <w:tr w:rsidR="00116658" w:rsidRPr="00116658" w:rsidTr="007D3A52">
        <w:trPr>
          <w:jc w:val="center"/>
        </w:trPr>
        <w:tc>
          <w:tcPr>
            <w:tcW w:w="5495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Compreensão/exploração /argumentação crítica</w:t>
            </w:r>
          </w:p>
        </w:tc>
        <w:tc>
          <w:tcPr>
            <w:tcW w:w="1984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40%</w:t>
            </w:r>
          </w:p>
        </w:tc>
      </w:tr>
      <w:tr w:rsidR="00116658" w:rsidRPr="00116658" w:rsidTr="007D3A52">
        <w:trPr>
          <w:jc w:val="center"/>
        </w:trPr>
        <w:tc>
          <w:tcPr>
            <w:tcW w:w="5495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 xml:space="preserve"> Aplicação de conhecimentos</w:t>
            </w:r>
          </w:p>
        </w:tc>
        <w:tc>
          <w:tcPr>
            <w:tcW w:w="1984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30%</w:t>
            </w:r>
          </w:p>
        </w:tc>
      </w:tr>
      <w:tr w:rsidR="00116658" w:rsidRPr="00116658" w:rsidTr="007D3A52">
        <w:trPr>
          <w:jc w:val="center"/>
        </w:trPr>
        <w:tc>
          <w:tcPr>
            <w:tcW w:w="5495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rPr>
                <w:rFonts w:ascii="Trebuchet MS" w:eastAsia="Calibri" w:hAnsi="Trebuchet MS" w:cs="Georgia"/>
                <w:sz w:val="20"/>
              </w:rPr>
            </w:pPr>
            <w:r w:rsidRPr="00116658">
              <w:rPr>
                <w:rFonts w:ascii="Trebuchet MS" w:eastAsia="Calibri" w:hAnsi="Trebuchet MS" w:cs="Georgia"/>
                <w:sz w:val="20"/>
              </w:rPr>
              <w:t>Organização e coesão do discurso oral/correção linguística</w:t>
            </w:r>
          </w:p>
        </w:tc>
        <w:tc>
          <w:tcPr>
            <w:tcW w:w="1984" w:type="dxa"/>
            <w:shd w:val="clear" w:color="auto" w:fill="auto"/>
          </w:tcPr>
          <w:p w:rsidR="00116658" w:rsidRPr="00116658" w:rsidRDefault="00116658" w:rsidP="00116658">
            <w:pPr>
              <w:adjustRightInd w:val="0"/>
              <w:spacing w:after="200" w:line="276" w:lineRule="auto"/>
              <w:jc w:val="center"/>
              <w:rPr>
                <w:rFonts w:ascii="Trebuchet MS" w:eastAsia="Calibri" w:hAnsi="Trebuchet MS" w:cs="Georgia"/>
                <w:b/>
                <w:bCs/>
                <w:sz w:val="20"/>
              </w:rPr>
            </w:pPr>
            <w:r w:rsidRPr="00116658">
              <w:rPr>
                <w:rFonts w:ascii="Trebuchet MS" w:eastAsia="Calibri" w:hAnsi="Trebuchet MS" w:cs="Georgia"/>
                <w:b/>
                <w:bCs/>
                <w:sz w:val="20"/>
              </w:rPr>
              <w:t>30%</w:t>
            </w:r>
          </w:p>
        </w:tc>
      </w:tr>
    </w:tbl>
    <w:p w:rsidR="00116658" w:rsidRPr="00116658" w:rsidRDefault="00116658" w:rsidP="00116658">
      <w:pPr>
        <w:adjustRightInd w:val="0"/>
        <w:spacing w:after="200" w:line="276" w:lineRule="auto"/>
        <w:jc w:val="center"/>
        <w:rPr>
          <w:rFonts w:ascii="Trebuchet MS" w:eastAsia="Calibri" w:hAnsi="Trebuchet MS" w:cs="Georgia"/>
          <w:sz w:val="20"/>
        </w:rPr>
      </w:pPr>
    </w:p>
    <w:p w:rsidR="00116658" w:rsidRPr="00116658" w:rsidRDefault="00116658" w:rsidP="00116658">
      <w:pPr>
        <w:adjustRightInd w:val="0"/>
        <w:spacing w:after="200" w:line="276" w:lineRule="auto"/>
        <w:rPr>
          <w:rFonts w:ascii="Trebuchet MS" w:eastAsia="Calibri" w:hAnsi="Trebuchet MS" w:cs="Georgia"/>
          <w:sz w:val="20"/>
        </w:rPr>
      </w:pPr>
    </w:p>
    <w:p w:rsidR="00116658" w:rsidRPr="00116658" w:rsidRDefault="00116658" w:rsidP="00116658">
      <w:pPr>
        <w:widowControl/>
        <w:autoSpaceDE/>
        <w:autoSpaceDN/>
        <w:spacing w:after="240" w:line="276" w:lineRule="auto"/>
        <w:rPr>
          <w:rFonts w:ascii="Trebuchet MS" w:eastAsia="Calibri" w:hAnsi="Trebuchet MS" w:cs="Times New Roman"/>
          <w:b/>
          <w:sz w:val="2"/>
          <w:szCs w:val="20"/>
        </w:rPr>
      </w:pPr>
    </w:p>
    <w:p w:rsidR="00116658" w:rsidRPr="00116658" w:rsidRDefault="00116658" w:rsidP="00116658">
      <w:pPr>
        <w:widowControl/>
        <w:autoSpaceDE/>
        <w:autoSpaceDN/>
        <w:spacing w:before="240" w:after="240" w:line="276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sz w:val="20"/>
          <w:szCs w:val="20"/>
        </w:rPr>
        <w:t>3 - CRITÉRIOS GERAIS DE CLASSIFICAÇÃO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A prova é avaliada por um júri constituído por três professores.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Na avaliação do aluno serão observados os seguintes critérios:</w:t>
      </w:r>
    </w:p>
    <w:p w:rsidR="00116658" w:rsidRPr="00116658" w:rsidRDefault="00116658" w:rsidP="00116658">
      <w:pPr>
        <w:widowControl/>
        <w:numPr>
          <w:ilvl w:val="0"/>
          <w:numId w:val="7"/>
        </w:numPr>
        <w:autoSpaceDE/>
        <w:autoSpaceDN/>
        <w:spacing w:before="240" w:after="24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Adequação da resposta à questão formulada;</w:t>
      </w:r>
    </w:p>
    <w:p w:rsidR="00116658" w:rsidRPr="00116658" w:rsidRDefault="00116658" w:rsidP="00116658">
      <w:pPr>
        <w:widowControl/>
        <w:numPr>
          <w:ilvl w:val="0"/>
          <w:numId w:val="7"/>
        </w:numPr>
        <w:autoSpaceDE/>
        <w:autoSpaceDN/>
        <w:spacing w:before="240" w:after="24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Coesão e coerência na estrutura frásica e textual;</w:t>
      </w:r>
    </w:p>
    <w:p w:rsidR="00116658" w:rsidRPr="00116658" w:rsidRDefault="00116658" w:rsidP="00116658">
      <w:pPr>
        <w:widowControl/>
        <w:numPr>
          <w:ilvl w:val="0"/>
          <w:numId w:val="7"/>
        </w:numPr>
        <w:autoSpaceDE/>
        <w:autoSpaceDN/>
        <w:spacing w:before="240" w:after="24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Adequação do vocabulário.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As respostas que não possam ser claramente identificadas como corretas são classificadas com zero pontos.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Não será atribuída classificação a produções orais que não obedeçam ao tema proposto.</w:t>
      </w:r>
    </w:p>
    <w:p w:rsidR="00116658" w:rsidRPr="00116658" w:rsidRDefault="00116658" w:rsidP="00116658">
      <w:pPr>
        <w:widowControl/>
        <w:autoSpaceDE/>
        <w:autoSpaceDN/>
        <w:spacing w:after="200" w:line="276" w:lineRule="auto"/>
        <w:rPr>
          <w:rFonts w:ascii="Trebuchet MS" w:eastAsia="Calibri" w:hAnsi="Trebuchet MS" w:cs="Times New Roman"/>
          <w:b/>
          <w:sz w:val="20"/>
          <w:szCs w:val="20"/>
        </w:rPr>
      </w:pPr>
    </w:p>
    <w:p w:rsidR="00116658" w:rsidRPr="00116658" w:rsidRDefault="00116658" w:rsidP="00116658">
      <w:pPr>
        <w:widowControl/>
        <w:autoSpaceDE/>
        <w:autoSpaceDN/>
        <w:spacing w:after="240" w:line="276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sz w:val="20"/>
          <w:szCs w:val="20"/>
        </w:rPr>
        <w:t>4 – DURAÇÃO</w:t>
      </w:r>
    </w:p>
    <w:p w:rsidR="00116658" w:rsidRPr="00116658" w:rsidRDefault="00116658" w:rsidP="00116658">
      <w:pPr>
        <w:widowControl/>
        <w:autoSpaceDE/>
        <w:autoSpaceDN/>
        <w:spacing w:after="240" w:line="276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116658">
        <w:rPr>
          <w:rFonts w:ascii="Trebuchet MS" w:eastAsia="Calibri" w:hAnsi="Trebuchet MS" w:cs="Times New Roman"/>
          <w:sz w:val="20"/>
          <w:szCs w:val="20"/>
        </w:rPr>
        <w:t>A prova oral tem a duração máxima de 15 minutos.</w:t>
      </w:r>
    </w:p>
    <w:p w:rsidR="00116658" w:rsidRPr="00116658" w:rsidRDefault="00116658" w:rsidP="00116658">
      <w:pPr>
        <w:widowControl/>
        <w:autoSpaceDE/>
        <w:autoSpaceDN/>
        <w:spacing w:after="240" w:line="276" w:lineRule="auto"/>
        <w:rPr>
          <w:rFonts w:ascii="Trebuchet MS" w:eastAsia="Calibri" w:hAnsi="Trebuchet MS" w:cs="Times New Roman"/>
          <w:sz w:val="20"/>
          <w:szCs w:val="20"/>
        </w:rPr>
      </w:pPr>
    </w:p>
    <w:p w:rsidR="00116658" w:rsidRPr="00116658" w:rsidRDefault="00116658" w:rsidP="00116658">
      <w:pPr>
        <w:widowControl/>
        <w:autoSpaceDE/>
        <w:autoSpaceDN/>
        <w:spacing w:after="240" w:line="276" w:lineRule="auto"/>
        <w:rPr>
          <w:rFonts w:ascii="Trebuchet MS" w:eastAsia="Calibri" w:hAnsi="Trebuchet MS" w:cs="Times New Roman"/>
          <w:b/>
          <w:sz w:val="20"/>
          <w:szCs w:val="20"/>
        </w:rPr>
      </w:pPr>
      <w:r w:rsidRPr="00116658">
        <w:rPr>
          <w:rFonts w:ascii="Trebuchet MS" w:eastAsia="Calibri" w:hAnsi="Trebuchet MS" w:cs="Times New Roman"/>
          <w:b/>
          <w:sz w:val="20"/>
          <w:szCs w:val="20"/>
        </w:rPr>
        <w:t>5 - MATERIAL AUTORIZADO</w:t>
      </w:r>
    </w:p>
    <w:p w:rsidR="00116658" w:rsidRPr="00116658" w:rsidRDefault="00116658" w:rsidP="00116658">
      <w:pPr>
        <w:widowControl/>
        <w:autoSpaceDE/>
        <w:autoSpaceDN/>
        <w:spacing w:after="240" w:line="276" w:lineRule="auto"/>
        <w:jc w:val="both"/>
        <w:rPr>
          <w:rFonts w:ascii="Trebuchet MS" w:eastAsia="Calibri" w:hAnsi="Trebuchet MS" w:cs="Times New Roman"/>
          <w:bCs/>
          <w:sz w:val="20"/>
          <w:szCs w:val="20"/>
        </w:rPr>
      </w:pPr>
      <w:r w:rsidRPr="00116658">
        <w:rPr>
          <w:rFonts w:ascii="Trebuchet MS" w:eastAsia="Calibri" w:hAnsi="Trebuchet MS" w:cs="Times New Roman"/>
          <w:bCs/>
          <w:sz w:val="20"/>
          <w:szCs w:val="20"/>
        </w:rPr>
        <w:t>O material a utilizar durante a prova será disponibilizado pelo júri.</w:t>
      </w:r>
    </w:p>
    <w:p w:rsidR="00116658" w:rsidRPr="00116658" w:rsidRDefault="00116658" w:rsidP="00116658">
      <w:pPr>
        <w:widowControl/>
        <w:autoSpaceDE/>
        <w:autoSpaceDN/>
        <w:ind w:left="-284" w:right="-96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16658" w:rsidRPr="00116658" w:rsidRDefault="00116658" w:rsidP="00116658">
      <w:pPr>
        <w:widowControl/>
        <w:autoSpaceDE/>
        <w:autoSpaceDN/>
        <w:ind w:left="-284" w:right="-96"/>
        <w:contextualSpacing/>
        <w:rPr>
          <w:rFonts w:ascii="Arial" w:eastAsia="Calibri" w:hAnsi="Arial" w:cs="Arial"/>
          <w:b/>
          <w:sz w:val="24"/>
          <w:szCs w:val="24"/>
        </w:rPr>
      </w:pPr>
    </w:p>
    <w:p w:rsidR="00116658" w:rsidRPr="00116658" w:rsidRDefault="00116658" w:rsidP="00116658">
      <w:pPr>
        <w:widowControl/>
        <w:autoSpaceDE/>
        <w:autoSpaceDN/>
        <w:ind w:left="-284" w:right="-96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A281D" w:rsidRDefault="005A281D" w:rsidP="00116658">
      <w:pPr>
        <w:adjustRightInd w:val="0"/>
        <w:jc w:val="both"/>
        <w:rPr>
          <w:sz w:val="21"/>
        </w:rPr>
      </w:pPr>
    </w:p>
    <w:sectPr w:rsidR="005A281D" w:rsidSect="005B1E15">
      <w:headerReference w:type="default" r:id="rId8"/>
      <w:footerReference w:type="default" r:id="rId9"/>
      <w:pgSz w:w="11910" w:h="16840"/>
      <w:pgMar w:top="1320" w:right="1380" w:bottom="840" w:left="1701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0F" w:rsidRDefault="005E040F" w:rsidP="00003E69">
      <w:r>
        <w:separator/>
      </w:r>
    </w:p>
  </w:endnote>
  <w:endnote w:type="continuationSeparator" w:id="0">
    <w:p w:rsidR="005E040F" w:rsidRDefault="005E040F" w:rsidP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69" w:rsidRDefault="00FC023E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>
              <wp:simplePos x="0" y="0"/>
              <wp:positionH relativeFrom="page">
                <wp:posOffset>1066800</wp:posOffset>
              </wp:positionH>
              <wp:positionV relativeFrom="bottomMargin">
                <wp:align>top</wp:align>
              </wp:positionV>
              <wp:extent cx="4657725" cy="228600"/>
              <wp:effectExtent l="0" t="0" r="9525" b="0"/>
              <wp:wrapNone/>
              <wp:docPr id="20064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3E69" w:rsidRDefault="00B745E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 w:rsidRPr="005A281D">
                            <w:rPr>
                              <w:sz w:val="20"/>
                            </w:rPr>
                            <w:t>Informação</w:t>
                          </w:r>
                          <w:r w:rsidRPr="005A281D">
                            <w:rPr>
                              <w:rFonts w:ascii="Arial" w:hAnsi="Arial"/>
                              <w:sz w:val="20"/>
                            </w:rPr>
                            <w:t>–</w:t>
                          </w:r>
                          <w:proofErr w:type="spellStart"/>
                          <w:r w:rsidRPr="005A281D">
                            <w:rPr>
                              <w:sz w:val="20"/>
                            </w:rPr>
                            <w:t>ProvadeEquivalênciaàFrequênciade</w:t>
                          </w:r>
                          <w:r w:rsidR="00116658">
                            <w:rPr>
                              <w:sz w:val="20"/>
                            </w:rPr>
                            <w:t>Cidadania</w:t>
                          </w:r>
                          <w:proofErr w:type="spellEnd"/>
                          <w:proofErr w:type="gramEnd"/>
                          <w:r w:rsidR="00116658">
                            <w:rPr>
                              <w:sz w:val="20"/>
                            </w:rPr>
                            <w:t xml:space="preserve"> e Desenvolvimento</w:t>
                          </w:r>
                          <w:r w:rsidR="005A281D" w:rsidRPr="005A281D">
                            <w:rPr>
                              <w:sz w:val="20"/>
                            </w:rPr>
                            <w:t xml:space="preserve"> – Prova 9</w:t>
                          </w:r>
                          <w:r w:rsidR="00116658"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0;width:366.75pt;height:18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" filled="f" stroked="f">
              <v:textbox inset="0,0,0,0">
                <w:txbxContent>
                  <w:p w:rsidR="00003E69" w:rsidRDefault="00B745E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proofErr w:type="gramStart"/>
                    <w:r w:rsidRPr="005A281D">
                      <w:rPr>
                        <w:sz w:val="20"/>
                      </w:rPr>
                      <w:t>Informação</w:t>
                    </w:r>
                    <w:r w:rsidRPr="005A281D">
                      <w:rPr>
                        <w:rFonts w:ascii="Arial" w:hAnsi="Arial"/>
                        <w:sz w:val="20"/>
                      </w:rPr>
                      <w:t>–</w:t>
                    </w:r>
                    <w:proofErr w:type="spellStart"/>
                    <w:r w:rsidRPr="005A281D">
                      <w:rPr>
                        <w:sz w:val="20"/>
                      </w:rPr>
                      <w:t>ProvadeEquivalênciaàFrequênciade</w:t>
                    </w:r>
                    <w:r w:rsidR="00116658">
                      <w:rPr>
                        <w:sz w:val="20"/>
                      </w:rPr>
                      <w:t>Cidadania</w:t>
                    </w:r>
                    <w:proofErr w:type="spellEnd"/>
                    <w:proofErr w:type="gramEnd"/>
                    <w:r w:rsidR="00116658">
                      <w:rPr>
                        <w:sz w:val="20"/>
                      </w:rPr>
                      <w:t xml:space="preserve"> e Desenvolvimento</w:t>
                    </w:r>
                    <w:r w:rsidR="005A281D" w:rsidRPr="005A281D">
                      <w:rPr>
                        <w:sz w:val="20"/>
                      </w:rPr>
                      <w:t xml:space="preserve"> – Prova 9</w:t>
                    </w:r>
                    <w:r w:rsidR="00116658"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6298565</wp:posOffset>
              </wp:positionH>
              <wp:positionV relativeFrom="page">
                <wp:posOffset>10142855</wp:posOffset>
              </wp:positionV>
              <wp:extent cx="1023620" cy="371475"/>
              <wp:effectExtent l="0" t="0" r="5080" b="9525"/>
              <wp:wrapNone/>
              <wp:docPr id="14800508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3E69" w:rsidRDefault="00BE4E42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745E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9C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745E9">
                            <w:rPr>
                              <w:sz w:val="20"/>
                            </w:rPr>
                            <w:t xml:space="preserve"> / </w:t>
                          </w:r>
                          <w:r w:rsidR="006579CC">
                            <w:fldChar w:fldCharType="begin"/>
                          </w:r>
                          <w:r w:rsidR="006579CC">
                            <w:instrText>NUMPAGES  \* Arabic  \* MERGEFORMAT</w:instrText>
                          </w:r>
                          <w:r w:rsidR="006579CC">
                            <w:fldChar w:fldCharType="separate"/>
                          </w:r>
                          <w:r w:rsidR="006579CC" w:rsidRPr="006579CC">
                            <w:rPr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="006579CC">
                            <w:rPr>
                              <w:b/>
                              <w:bCs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5.95pt;margin-top:798.65pt;width:80.6pt;height:2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" filled="f" stroked="f">
              <v:textbox inset="0,0,0,0">
                <w:txbxContent>
                  <w:p w:rsidR="00003E69" w:rsidRDefault="00BE4E42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B745E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9C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B745E9">
                      <w:rPr>
                        <w:sz w:val="20"/>
                      </w:rPr>
                      <w:t xml:space="preserve"> / </w:t>
                    </w:r>
                    <w:r w:rsidR="006579CC">
                      <w:fldChar w:fldCharType="begin"/>
                    </w:r>
                    <w:r w:rsidR="006579CC">
                      <w:instrText>NUMPAGES  \* Arabic  \* MERGEFORMAT</w:instrText>
                    </w:r>
                    <w:r w:rsidR="006579CC">
                      <w:fldChar w:fldCharType="separate"/>
                    </w:r>
                    <w:r w:rsidR="006579CC" w:rsidRPr="006579CC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6579CC">
                      <w:rPr>
                        <w:b/>
                        <w:bCs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10100945</wp:posOffset>
              </wp:positionV>
              <wp:extent cx="5544185" cy="5080"/>
              <wp:effectExtent l="0" t="0" r="0" b="0"/>
              <wp:wrapNone/>
              <wp:docPr id="1" name="Rec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ângulo 1" o:spid="_x0000_s1026" style="position:absolute;margin-left:83.6pt;margin-top:795.35pt;width:436.55pt;height:.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0F" w:rsidRDefault="005E040F" w:rsidP="00003E69">
      <w:r>
        <w:separator/>
      </w:r>
    </w:p>
  </w:footnote>
  <w:footnote w:type="continuationSeparator" w:id="0">
    <w:p w:rsidR="005E040F" w:rsidRDefault="005E040F" w:rsidP="000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C4" w:rsidRDefault="00EB0EC4" w:rsidP="00EB0EC4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</w:p>
  <w:p w:rsidR="00EB0EC4" w:rsidRDefault="00EB0EC4" w:rsidP="00EB0EC4">
    <w:pPr>
      <w:pStyle w:val="Cabealho"/>
    </w:pPr>
    <w:r>
      <w:rPr>
        <w:noProof/>
        <w:lang w:eastAsia="pt-PT"/>
      </w:rPr>
      <w:drawing>
        <wp:anchor distT="0" distB="0" distL="114300" distR="114300" simplePos="0" relativeHeight="487536640" behindDoc="1" locked="0" layoutInCell="1" allowOverlap="0">
          <wp:simplePos x="0" y="0"/>
          <wp:positionH relativeFrom="column">
            <wp:posOffset>1145540</wp:posOffset>
          </wp:positionH>
          <wp:positionV relativeFrom="paragraph">
            <wp:posOffset>-71755</wp:posOffset>
          </wp:positionV>
          <wp:extent cx="1898650" cy="488315"/>
          <wp:effectExtent l="0" t="0" r="0" b="0"/>
          <wp:wrapNone/>
          <wp:docPr id="375679685" name="Imagem 37567968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9" b="14084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0EC4" w:rsidRPr="002A0577" w:rsidRDefault="00EB0EC4" w:rsidP="00EB0EC4">
    <w:pPr>
      <w:pStyle w:val="Cabealho"/>
    </w:pP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0EC4" w:rsidRPr="00B8318D" w:rsidTr="00506689">
      <w:trPr>
        <w:trHeight w:val="827"/>
      </w:trPr>
      <w:tc>
        <w:tcPr>
          <w:tcW w:w="577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EB0EC4" w:rsidRDefault="00EB0EC4" w:rsidP="00EB0EC4">
          <w:r>
            <w:rPr>
              <w:noProof/>
              <w:lang w:eastAsia="pt-PT"/>
            </w:rPr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413385" cy="473075"/>
                <wp:effectExtent l="0" t="0" r="0" b="0"/>
                <wp:wrapTight wrapText="bothSides">
                  <wp:wrapPolygon edited="0">
                    <wp:start x="0" y="0"/>
                    <wp:lineTo x="0" y="20875"/>
                    <wp:lineTo x="20903" y="20875"/>
                    <wp:lineTo x="20903" y="0"/>
                    <wp:lineTo x="0" y="0"/>
                  </wp:wrapPolygon>
                </wp:wrapTight>
                <wp:docPr id="1570866482" name="Imagem 1570866482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B0EC4" w:rsidRPr="00E7423F" w:rsidRDefault="00EB0EC4" w:rsidP="00E7423F">
          <w:pPr>
            <w:rPr>
              <w:sz w:val="20"/>
              <w:szCs w:val="20"/>
            </w:rPr>
          </w:pPr>
          <w:r w:rsidRPr="00E7423F">
            <w:rPr>
              <w:sz w:val="20"/>
              <w:szCs w:val="20"/>
            </w:rPr>
            <w:t xml:space="preserve">Escola Básica e Secundária Mestre Domingos Saraiva </w:t>
          </w: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</w:tcPr>
        <w:p w:rsidR="00EB0EC4" w:rsidRPr="00B8318D" w:rsidRDefault="00EB0EC4" w:rsidP="00EB0EC4">
          <w:pPr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:rsidR="00116658" w:rsidRDefault="00116658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CIDADANIA </w:t>
          </w:r>
          <w:proofErr w:type="gramStart"/>
          <w:r>
            <w:rPr>
              <w:rFonts w:ascii="Arial" w:hAnsi="Arial" w:cs="Arial"/>
              <w:b/>
              <w:color w:val="000000"/>
              <w:sz w:val="24"/>
              <w:szCs w:val="24"/>
            </w:rPr>
            <w:t>E</w:t>
          </w:r>
          <w:proofErr w:type="gramEnd"/>
        </w:p>
        <w:p w:rsidR="00EB0EC4" w:rsidRDefault="00116658" w:rsidP="001166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DESENVOLVIMENTO</w:t>
          </w:r>
        </w:p>
        <w:p w:rsidR="00EB0EC4" w:rsidRPr="002A0577" w:rsidRDefault="005A281D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Informação</w:t>
          </w:r>
        </w:p>
      </w:tc>
    </w:tr>
  </w:tbl>
  <w:p w:rsidR="00EB0EC4" w:rsidRDefault="00EB0EC4" w:rsidP="00EB0EC4"/>
  <w:p w:rsidR="00EB0EC4" w:rsidRDefault="00EB0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72F"/>
    <w:multiLevelType w:val="hybridMultilevel"/>
    <w:tmpl w:val="1792C3D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2F6"/>
    <w:multiLevelType w:val="hybridMultilevel"/>
    <w:tmpl w:val="51A6B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7B0"/>
    <w:multiLevelType w:val="hybridMultilevel"/>
    <w:tmpl w:val="5FBE8B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73B38"/>
    <w:multiLevelType w:val="hybridMultilevel"/>
    <w:tmpl w:val="1C067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942"/>
    <w:multiLevelType w:val="hybridMultilevel"/>
    <w:tmpl w:val="BCA82C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84CD4"/>
    <w:multiLevelType w:val="hybridMultilevel"/>
    <w:tmpl w:val="4C5E14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73CCA"/>
    <w:multiLevelType w:val="hybridMultilevel"/>
    <w:tmpl w:val="A76693F6"/>
    <w:lvl w:ilvl="0" w:tplc="EFAAF1DA">
      <w:numFmt w:val="bullet"/>
      <w:lvlText w:val="•"/>
      <w:lvlJc w:val="left"/>
      <w:pPr>
        <w:ind w:left="140" w:hanging="156"/>
      </w:pPr>
      <w:rPr>
        <w:rFonts w:ascii="Arial" w:eastAsia="Arial" w:hAnsi="Arial" w:cs="Arial" w:hint="default"/>
        <w:w w:val="142"/>
        <w:sz w:val="22"/>
        <w:szCs w:val="22"/>
        <w:lang w:val="pt-PT" w:eastAsia="en-US" w:bidi="ar-SA"/>
      </w:rPr>
    </w:lvl>
    <w:lvl w:ilvl="1" w:tplc="CB228EA2">
      <w:numFmt w:val="bullet"/>
      <w:lvlText w:val="o"/>
      <w:lvlJc w:val="left"/>
      <w:pPr>
        <w:ind w:left="1557" w:hanging="34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en-US" w:bidi="ar-SA"/>
      </w:rPr>
    </w:lvl>
    <w:lvl w:ilvl="2" w:tplc="6F604820">
      <w:numFmt w:val="bullet"/>
      <w:lvlText w:val="•"/>
      <w:lvlJc w:val="left"/>
      <w:pPr>
        <w:ind w:left="2383" w:hanging="348"/>
      </w:pPr>
      <w:rPr>
        <w:rFonts w:hint="default"/>
        <w:lang w:val="pt-PT" w:eastAsia="en-US" w:bidi="ar-SA"/>
      </w:rPr>
    </w:lvl>
    <w:lvl w:ilvl="3" w:tplc="5AD89E44">
      <w:numFmt w:val="bullet"/>
      <w:lvlText w:val="•"/>
      <w:lvlJc w:val="left"/>
      <w:pPr>
        <w:ind w:left="3206" w:hanging="348"/>
      </w:pPr>
      <w:rPr>
        <w:rFonts w:hint="default"/>
        <w:lang w:val="pt-PT" w:eastAsia="en-US" w:bidi="ar-SA"/>
      </w:rPr>
    </w:lvl>
    <w:lvl w:ilvl="4" w:tplc="012A0F44">
      <w:numFmt w:val="bullet"/>
      <w:lvlText w:val="•"/>
      <w:lvlJc w:val="left"/>
      <w:pPr>
        <w:ind w:left="4029" w:hanging="348"/>
      </w:pPr>
      <w:rPr>
        <w:rFonts w:hint="default"/>
        <w:lang w:val="pt-PT" w:eastAsia="en-US" w:bidi="ar-SA"/>
      </w:rPr>
    </w:lvl>
    <w:lvl w:ilvl="5" w:tplc="27D4430A">
      <w:numFmt w:val="bullet"/>
      <w:lvlText w:val="•"/>
      <w:lvlJc w:val="left"/>
      <w:pPr>
        <w:ind w:left="4852" w:hanging="348"/>
      </w:pPr>
      <w:rPr>
        <w:rFonts w:hint="default"/>
        <w:lang w:val="pt-PT" w:eastAsia="en-US" w:bidi="ar-SA"/>
      </w:rPr>
    </w:lvl>
    <w:lvl w:ilvl="6" w:tplc="28E2CEA2">
      <w:numFmt w:val="bullet"/>
      <w:lvlText w:val="•"/>
      <w:lvlJc w:val="left"/>
      <w:pPr>
        <w:ind w:left="5675" w:hanging="348"/>
      </w:pPr>
      <w:rPr>
        <w:rFonts w:hint="default"/>
        <w:lang w:val="pt-PT" w:eastAsia="en-US" w:bidi="ar-SA"/>
      </w:rPr>
    </w:lvl>
    <w:lvl w:ilvl="7" w:tplc="BEB6F190">
      <w:numFmt w:val="bullet"/>
      <w:lvlText w:val="•"/>
      <w:lvlJc w:val="left"/>
      <w:pPr>
        <w:ind w:left="6498" w:hanging="348"/>
      </w:pPr>
      <w:rPr>
        <w:rFonts w:hint="default"/>
        <w:lang w:val="pt-PT" w:eastAsia="en-US" w:bidi="ar-SA"/>
      </w:rPr>
    </w:lvl>
    <w:lvl w:ilvl="8" w:tplc="C232B0B6">
      <w:numFmt w:val="bullet"/>
      <w:lvlText w:val="•"/>
      <w:lvlJc w:val="left"/>
      <w:pPr>
        <w:ind w:left="7321" w:hanging="34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9"/>
    <w:rsid w:val="00003E69"/>
    <w:rsid w:val="0000726B"/>
    <w:rsid w:val="000536C9"/>
    <w:rsid w:val="000723A7"/>
    <w:rsid w:val="000764DC"/>
    <w:rsid w:val="00116658"/>
    <w:rsid w:val="00120E37"/>
    <w:rsid w:val="001971FA"/>
    <w:rsid w:val="001B07BD"/>
    <w:rsid w:val="001D0401"/>
    <w:rsid w:val="00205B7B"/>
    <w:rsid w:val="002223A8"/>
    <w:rsid w:val="00232696"/>
    <w:rsid w:val="0026157F"/>
    <w:rsid w:val="0026485D"/>
    <w:rsid w:val="00310326"/>
    <w:rsid w:val="00311501"/>
    <w:rsid w:val="0035228D"/>
    <w:rsid w:val="00426EA4"/>
    <w:rsid w:val="0046732F"/>
    <w:rsid w:val="004870DE"/>
    <w:rsid w:val="004C4F0F"/>
    <w:rsid w:val="00501129"/>
    <w:rsid w:val="0054761F"/>
    <w:rsid w:val="005A281D"/>
    <w:rsid w:val="005B1E15"/>
    <w:rsid w:val="005D321B"/>
    <w:rsid w:val="005E040F"/>
    <w:rsid w:val="006579CC"/>
    <w:rsid w:val="00657B18"/>
    <w:rsid w:val="006649B5"/>
    <w:rsid w:val="0074779D"/>
    <w:rsid w:val="007A2FBF"/>
    <w:rsid w:val="007F47D7"/>
    <w:rsid w:val="00831CDF"/>
    <w:rsid w:val="00942FD6"/>
    <w:rsid w:val="00974F22"/>
    <w:rsid w:val="009E2C14"/>
    <w:rsid w:val="00AC1813"/>
    <w:rsid w:val="00AE7D3F"/>
    <w:rsid w:val="00B34004"/>
    <w:rsid w:val="00B64E90"/>
    <w:rsid w:val="00B745E9"/>
    <w:rsid w:val="00BC55EA"/>
    <w:rsid w:val="00BD71D0"/>
    <w:rsid w:val="00BE4E42"/>
    <w:rsid w:val="00D326FB"/>
    <w:rsid w:val="00D367D6"/>
    <w:rsid w:val="00D434D2"/>
    <w:rsid w:val="00DA256D"/>
    <w:rsid w:val="00E7423F"/>
    <w:rsid w:val="00EA36B9"/>
    <w:rsid w:val="00EB0EC4"/>
    <w:rsid w:val="00EB1759"/>
    <w:rsid w:val="00F2784D"/>
    <w:rsid w:val="00F7727F"/>
    <w:rsid w:val="00FC023E"/>
    <w:rsid w:val="00FF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5A281D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paragraph" w:customStyle="1" w:styleId="Default">
    <w:name w:val="Default"/>
    <w:rsid w:val="005A281D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exames</cp:lastModifiedBy>
  <cp:revision>2</cp:revision>
  <dcterms:created xsi:type="dcterms:W3CDTF">2023-05-15T14:26:00Z</dcterms:created>
  <dcterms:modified xsi:type="dcterms:W3CDTF">2023-05-15T14:26:00Z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2021-05-24T00:00:00Z</vt:filetime>
  </property>
</Properties>
</file>